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Grigliatabella"/>
        <w:tblpPr w:vertAnchor="margin" w:horzAnchor="margin" w:leftFromText="141" w:rightFromText="141" w:tblpX="0" w:tblpY="435"/>
        <w:tblW w:w="142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88"/>
        <w:gridCol w:w="11589"/>
      </w:tblGrid>
      <w:tr>
        <w:trPr/>
        <w:tc>
          <w:tcPr>
            <w:tcW w:w="14277" w:type="dxa"/>
            <w:gridSpan w:val="2"/>
            <w:tcBorders/>
            <w:shd w:color="auto" w:fill="FFE599" w:themeFill="accent4" w:themeFillTint="66" w:val="clear"/>
          </w:tcPr>
          <w:p>
            <w:pPr>
              <w:pStyle w:val="Title"/>
              <w:widowControl/>
              <w:suppressAutoHyphens w:val="true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>
                <w:kern w:val="0"/>
                <w:lang w:val="it-IT" w:eastAsia="en-US" w:bidi="ar-SA"/>
              </w:rPr>
              <w:t>MUSICA SCUOLA SECONDARIA DI I GRADO</w:t>
            </w:r>
          </w:p>
        </w:tc>
      </w:tr>
      <w:tr>
        <w:trPr/>
        <w:tc>
          <w:tcPr>
            <w:tcW w:w="2688" w:type="dxa"/>
            <w:tcBorders/>
            <w:shd w:color="auto" w:fill="FFF2CC" w:themeFill="accent4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" w:cs=""/>
                <w:b/>
                <w:kern w:val="0"/>
                <w:sz w:val="36"/>
                <w:szCs w:val="36"/>
                <w:lang w:val="it-IT" w:eastAsia="en-US" w:bidi="ar-SA"/>
              </w:rPr>
              <w:t>NUCLEO TEMATICO</w:t>
            </w:r>
          </w:p>
        </w:tc>
        <w:tc>
          <w:tcPr>
            <w:tcW w:w="11589" w:type="dxa"/>
            <w:tcBorders/>
            <w:shd w:color="auto" w:fill="FFF2CC" w:themeFill="accent4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" w:cs=""/>
                <w:b/>
                <w:kern w:val="0"/>
                <w:sz w:val="36"/>
                <w:szCs w:val="36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" w:cs=""/>
                <w:b/>
                <w:kern w:val="0"/>
                <w:sz w:val="36"/>
                <w:szCs w:val="36"/>
                <w:lang w:val="it-IT" w:eastAsia="en-US" w:bidi="ar-SA"/>
              </w:rPr>
              <w:t>TRAGUARDI FORMATIVI ALLA FINE DELLA SCUOLA SECONDARIA DI I GRADO</w:t>
            </w:r>
          </w:p>
        </w:tc>
      </w:tr>
      <w:tr>
        <w:trPr>
          <w:trHeight w:val="2585" w:hRule="atLeast"/>
        </w:trPr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center"/>
              <w:rPr>
                <w:rFonts w:cs="Calibri" w:cstheme="minorHAnsi"/>
                <w:b/>
                <w:color w:val="231F20"/>
                <w:sz w:val="36"/>
                <w:szCs w:val="36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36"/>
                <w:szCs w:val="36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center"/>
              <w:rPr>
                <w:rFonts w:cs="Calibri" w:cstheme="minorHAnsi"/>
                <w:b/>
                <w:color w:val="231F20"/>
                <w:sz w:val="36"/>
                <w:szCs w:val="36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36"/>
                <w:szCs w:val="36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center"/>
              <w:rPr>
                <w:rFonts w:cs="Calibri" w:cstheme="minorHAnsi"/>
                <w:b/>
                <w:color w:val="231F20"/>
                <w:sz w:val="36"/>
                <w:szCs w:val="36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36"/>
                <w:szCs w:val="36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center"/>
              <w:rPr>
                <w:rFonts w:cs="Calibri" w:cstheme="minorHAnsi"/>
                <w:b/>
                <w:color w:val="231F20"/>
                <w:sz w:val="36"/>
                <w:szCs w:val="36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36"/>
                <w:szCs w:val="36"/>
                <w:lang w:val="it-IT" w:eastAsia="en-US" w:bidi="ar-SA"/>
              </w:rPr>
              <w:t>FRUIZIONE E PRODUZIONE</w:t>
            </w:r>
          </w:p>
        </w:tc>
        <w:tc>
          <w:tcPr>
            <w:tcW w:w="115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40"/>
                <w:szCs w:val="40"/>
              </w:rPr>
            </w:pPr>
            <w:r>
              <w:rPr>
                <w:rFonts w:eastAsia="" w:cs=""/>
                <w:kern w:val="0"/>
                <w:sz w:val="40"/>
                <w:szCs w:val="40"/>
                <w:lang w:val="it-IT" w:eastAsia="en-US" w:bidi="ar-SA"/>
              </w:rPr>
              <w:t xml:space="preserve">L’alunno partecipa in modo attivo alla realizzazione di esperienze musicali attraverso l’esecuzione e l’interpretazione di brani strumentali e vocali appartenenti a generi e culture differenti.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40"/>
                <w:szCs w:val="40"/>
              </w:rPr>
            </w:pPr>
            <w:r>
              <w:rPr>
                <w:rFonts w:eastAsia="" w:cs=""/>
                <w:kern w:val="0"/>
                <w:sz w:val="40"/>
                <w:szCs w:val="40"/>
                <w:lang w:val="it-IT" w:eastAsia="en-US" w:bidi="ar-SA"/>
              </w:rPr>
              <w:t>Usa diversi sistemi di notazione funzionali alla lettura, all’analisi e alla riproduzione di brani musicali.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40"/>
                <w:szCs w:val="40"/>
              </w:rPr>
            </w:pPr>
            <w:r>
              <w:rPr>
                <w:rFonts w:eastAsia="" w:cs=""/>
                <w:kern w:val="0"/>
                <w:sz w:val="40"/>
                <w:szCs w:val="40"/>
                <w:lang w:val="it-IT" w:eastAsia="en-US" w:bidi="ar-SA"/>
              </w:rPr>
              <w:t>È in grado di ideare e realizzare, anche attraverso l’improvvisazione o partecipando a processi di elaborazione collettiva, messaggi musicali e multimediali, nel confronto critico con modelli appartenenti al patrimonio musicale, utilizzando anche sistemi informatici.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40"/>
                <w:szCs w:val="40"/>
              </w:rPr>
            </w:pPr>
            <w:r>
              <w:rPr>
                <w:rFonts w:eastAsia="" w:cs=""/>
                <w:kern w:val="0"/>
                <w:sz w:val="40"/>
                <w:szCs w:val="40"/>
                <w:lang w:val="it-IT" w:eastAsia="en-US" w:bidi="ar-SA"/>
              </w:rPr>
              <w:t>Comprende e valuta eventi, materiali, opere musicali riconoscendone i significati, anche in relazione alla propria esperienza musicale e ai diversi contesti storico-culturali.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/>
              </w:rPr>
            </w:pPr>
            <w:r>
              <w:rPr>
                <w:rFonts w:eastAsia="" w:cs=""/>
                <w:kern w:val="0"/>
                <w:sz w:val="40"/>
                <w:szCs w:val="40"/>
                <w:lang w:val="it-IT" w:eastAsia="en-US" w:bidi="ar-SA"/>
              </w:rPr>
              <w:t>Integra con altri saperi e altre pratiche artistiche le proprie esperienze musicali, servendosi anche di appropriati codici e sistemi di codifica.</w:t>
            </w:r>
          </w:p>
        </w:tc>
      </w:tr>
    </w:tbl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  <w:r>
        <w:br w:type="page"/>
      </w:r>
    </w:p>
    <w:p>
      <w:pPr>
        <w:pStyle w:val="Normal"/>
        <w:spacing w:before="0" w:after="160"/>
        <w:rPr/>
      </w:pPr>
      <w:r>
        <w:rPr/>
      </w:r>
    </w:p>
    <w:tbl>
      <w:tblPr>
        <w:tblStyle w:val="Grigliatabella"/>
        <w:tblW w:w="1427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55"/>
        <w:gridCol w:w="11022"/>
      </w:tblGrid>
      <w:tr>
        <w:trPr/>
        <w:tc>
          <w:tcPr>
            <w:tcW w:w="14277" w:type="dxa"/>
            <w:gridSpan w:val="2"/>
            <w:tcBorders/>
            <w:shd w:color="auto" w:fill="FFE599" w:themeFill="accent4" w:themeFillTint="66" w:val="clear"/>
          </w:tcPr>
          <w:p>
            <w:pPr>
              <w:pStyle w:val="Normal"/>
              <w:widowControl/>
              <w:suppressAutoHyphens w:val="true"/>
              <w:spacing w:lineRule="auto" w:line="204" w:before="0" w:after="0"/>
              <w:ind w:firstLine="22"/>
              <w:contextualSpacing/>
              <w:jc w:val="center"/>
              <w:rPr>
                <w:rFonts w:ascii="Calibri Light" w:hAnsi="Calibri Light" w:eastAsia="" w:cs="" w:asciiTheme="majorHAnsi" w:cstheme="majorBidi" w:eastAsiaTheme="majorEastAsia" w:hAnsiTheme="majorHAnsi"/>
                <w:caps/>
                <w:color w:themeColor="text2" w:val="44546A"/>
                <w:spacing w:val="-15"/>
                <w:sz w:val="72"/>
                <w:szCs w:val="72"/>
              </w:rPr>
            </w:pPr>
            <w:r>
              <w:rPr>
                <w:rFonts w:eastAsia="" w:cs="" w:ascii="Calibri Light" w:hAnsi="Calibri Light" w:asciiTheme="majorHAnsi" w:cstheme="majorBidi" w:eastAsiaTheme="majorEastAsia" w:hAnsiTheme="majorHAnsi"/>
                <w:caps/>
                <w:color w:themeColor="text2" w:val="44546A"/>
                <w:spacing w:val="-15"/>
                <w:kern w:val="0"/>
                <w:sz w:val="72"/>
                <w:szCs w:val="72"/>
                <w:lang w:val="it-IT" w:eastAsia="en-US" w:bidi="ar-SA"/>
              </w:rPr>
              <w:t>MUSICA classe 1</w:t>
            </w:r>
            <w:r>
              <w:rPr>
                <w:rFonts w:eastAsia="" w:cs="" w:ascii="Calibri Light" w:hAnsi="Calibri Light" w:asciiTheme="majorHAnsi" w:cstheme="majorBidi" w:eastAsiaTheme="majorEastAsia" w:hAnsiTheme="majorHAnsi"/>
                <w:caps/>
                <w:color w:themeColor="text2" w:val="44546A"/>
                <w:spacing w:val="-15"/>
                <w:kern w:val="0"/>
                <w:sz w:val="72"/>
                <w:szCs w:val="72"/>
                <w:vertAlign w:val="superscript"/>
                <w:lang w:val="it-IT" w:eastAsia="en-US" w:bidi="ar-SA"/>
              </w:rPr>
              <w:t>a</w:t>
            </w:r>
            <w:r>
              <w:rPr>
                <w:rFonts w:eastAsia="" w:cs="" w:ascii="Calibri Light" w:hAnsi="Calibri Light" w:asciiTheme="majorHAnsi" w:cstheme="majorBidi" w:eastAsiaTheme="majorEastAsia" w:hAnsiTheme="majorHAnsi"/>
                <w:caps/>
                <w:color w:themeColor="text2" w:val="44546A"/>
                <w:spacing w:val="-15"/>
                <w:kern w:val="0"/>
                <w:sz w:val="72"/>
                <w:szCs w:val="72"/>
                <w:lang w:val="it-IT" w:eastAsia="en-US" w:bidi="ar-SA"/>
              </w:rPr>
              <w:t xml:space="preserve"> SECONDARIA DI I GRADO</w:t>
            </w:r>
          </w:p>
        </w:tc>
      </w:tr>
      <w:tr>
        <w:trPr/>
        <w:tc>
          <w:tcPr>
            <w:tcW w:w="3255" w:type="dxa"/>
            <w:tcBorders/>
            <w:shd w:color="auto" w:fill="FFF2CC" w:themeFill="accent4" w:themeFillTint="33" w:val="clear"/>
          </w:tcPr>
          <w:p>
            <w:pPr>
              <w:pStyle w:val="Normal"/>
              <w:widowControl/>
              <w:suppressAutoHyphens w:val="true"/>
              <w:spacing w:before="0" w:after="120"/>
              <w:ind w:left="283"/>
              <w:jc w:val="center"/>
              <w:rPr>
                <w:b/>
              </w:rPr>
            </w:pPr>
            <w:r>
              <w:rPr>
                <w:rFonts w:eastAsia="" w:cs=""/>
                <w:b/>
                <w:kern w:val="0"/>
                <w:sz w:val="22"/>
                <w:szCs w:val="22"/>
                <w:lang w:val="it-IT" w:eastAsia="en-US" w:bidi="ar-SA"/>
              </w:rPr>
              <w:t xml:space="preserve">NUCLEI TEMATICI </w:t>
            </w:r>
          </w:p>
        </w:tc>
        <w:tc>
          <w:tcPr>
            <w:tcW w:w="11022" w:type="dxa"/>
            <w:tcBorders/>
            <w:shd w:color="auto" w:fill="FFF2CC" w:themeFill="accent4" w:themeFillTint="33" w:val="clear"/>
          </w:tcPr>
          <w:p>
            <w:pPr>
              <w:pStyle w:val="Normal"/>
              <w:widowControl/>
              <w:suppressAutoHyphens w:val="true"/>
              <w:spacing w:before="0" w:after="120"/>
              <w:ind w:left="283"/>
              <w:jc w:val="center"/>
              <w:rPr>
                <w:b/>
              </w:rPr>
            </w:pPr>
            <w:r>
              <w:rPr>
                <w:rFonts w:eastAsia="" w:cs=""/>
                <w:b/>
                <w:kern w:val="0"/>
                <w:sz w:val="22"/>
                <w:szCs w:val="22"/>
                <w:lang w:val="it-IT" w:eastAsia="en-US" w:bidi="ar-SA"/>
              </w:rPr>
              <w:t>ABILTÀ</w:t>
            </w:r>
          </w:p>
        </w:tc>
      </w:tr>
      <w:tr>
        <w:trPr>
          <w:trHeight w:val="2854" w:hRule="atLeast"/>
        </w:trPr>
        <w:tc>
          <w:tcPr>
            <w:tcW w:w="325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  <w:t>FRUIZIONE E PRODUZIONE</w:t>
            </w:r>
          </w:p>
        </w:tc>
        <w:tc>
          <w:tcPr>
            <w:tcW w:w="1102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 xml:space="preserve">Eseguire collettivamente e individualmente, brani vocali e strumentali di diversi generi e stili, anche avvalendosi di strumentazioni elettroniche.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 xml:space="preserve">Improvvisare brani musicali vocali, utilizzando semplici schemi ritmico-melodici.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>Riconoscere anche stilisticamente i più importanti elementi costitutivi del linguaggio musicale.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 xml:space="preserve">Conoscere e descrivere in modo critico opere d’arte musicali e realizza eventi sonori che integrino altre forme artistiche, quali danza, teatro, arti visive e multimediali.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>Decodificare e utilizzare la notazione tradizionale e altri sistemi di scrittura.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>Orientare la costruzione della propria identità musicale, ampliarne l’orizzonte valorizzando le proprie esperienze, il percorso svolto e le opportunità offerte dal contesto.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>Accedere</w:t>
            </w:r>
            <w:bookmarkStart w:id="0" w:name="_GoBack"/>
            <w:bookmarkEnd w:id="0"/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 xml:space="preserve"> alle risorse musicali presenti in rete.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4427" w:type="dxa"/>
        <w:jc w:val="left"/>
        <w:tblInd w:w="2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885"/>
        <w:gridCol w:w="2885"/>
        <w:gridCol w:w="2886"/>
        <w:gridCol w:w="2885"/>
        <w:gridCol w:w="2886"/>
      </w:tblGrid>
      <w:tr>
        <w:trPr>
          <w:trHeight w:val="287" w:hRule="atLeast"/>
        </w:trPr>
        <w:tc>
          <w:tcPr>
            <w:tcW w:w="14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FFE599" w:themeFill="accent4" w:themeFillTint="66" w:val="clear"/>
          </w:tcPr>
          <w:p>
            <w:pPr>
              <w:pStyle w:val="Normal"/>
              <w:pageBreakBefore/>
              <w:spacing w:before="0" w:after="160"/>
              <w:jc w:val="center"/>
              <w:rPr/>
            </w:pPr>
            <w:r>
              <w:rPr/>
              <w:t>LIVELLI DI APPRENDIMENTO – Al termine della classe Prima</w:t>
            </w:r>
          </w:p>
        </w:tc>
      </w:tr>
      <w:tr>
        <w:trPr>
          <w:trHeight w:val="296" w:hRule="atLeast"/>
        </w:trPr>
        <w:tc>
          <w:tcPr>
            <w:tcW w:w="28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themeFill="accent6" w:themeFillTint="99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NON ADEGUATO (4 – 5)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BASILARE (6)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ADEGUATO (7)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AVANZATO (8)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AAC" w:themeFill="accent2" w:themeFillTint="66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ECCELLENTE (9 – 10)</w:t>
            </w:r>
          </w:p>
        </w:tc>
      </w:tr>
      <w:tr>
        <w:trPr>
          <w:trHeight w:val="7328" w:hRule="atLeast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L’alunno ascolta brani musicali e li commenta  unicamente dal punto di vista delle sollecitazioni emotive.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 </w:t>
            </w:r>
            <w:r>
              <w:rPr>
                <w:sz w:val="20"/>
                <w:szCs w:val="20"/>
                <w:shd w:fill="FFFFFF" w:val="clear"/>
              </w:rPr>
              <w:t xml:space="preserve">Produce eventi sonori utilizzando quasi esclusivamente strumenti non convenzionali. 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Se guidato, a volte suona semplici melodie in modo approssimativo.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Canta in coro, non sempre con uso appropriato della voce.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Distingue  alcune caratteristiche fondamentali dei suoni. 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Non sa leggere le note o, se guidato, riesce a riconoscerle e ascriverle  con molte imprecisioni.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L’alunno, nell’ascolto di brani musicali, esprime apprezzamenti non solo rispetto alle sollecitazioni emotive, ma anche sotto l’aspetto estetico, ad esempio confrontando generi diversi. 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Riproduce eventi sonori e semplici brani musicali, anche in gruppo, con strumenti non convenzionali e convenzionali.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Canta in coro mantenendo una soddisfacente sintonia con gli altri. 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Conosce la notazione musicale con diverse imprecisioni e la sa rappresentare con la voce e con i più semplici strumenti convenzionali non sempre in modo adeguato.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L’alunno esplora, discrimina ed elabora eventi sonori dal punto di vista qualitativo, spaziale e in riferimento alla loro fonte. 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 </w:t>
            </w:r>
            <w:r>
              <w:rPr>
                <w:sz w:val="20"/>
                <w:szCs w:val="20"/>
                <w:shd w:fill="FFFFFF" w:val="clear"/>
              </w:rPr>
              <w:t>Esplora diverse possibilità espressive della voce, di oggetti sonori e strumenti musicali, imparando ad ascoltare se stesso e gli altri.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Improvvisa liberamente e in modo creativo, imparando gradualmente a dominare tecniche e materiali.   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Esegue, da solo e in gruppo, semplici brani vocali o strumentali, appartenenti a generi e culture differenti, in modo abbastanza corretto.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Riconosce discretamente gli elementi costitutivi di un semplice brano musicale.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Ascolta, interpreta e descrive brani musicali di diverso genere, collaborando e partecipando adeguatamente.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L’alunno esegue collettivamente e individualmente brani vocali/strumentali anche polifonici curando intonazione, espressività, interpretazione.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 </w:t>
            </w:r>
            <w:r>
              <w:rPr>
                <w:sz w:val="20"/>
                <w:szCs w:val="20"/>
                <w:shd w:fill="FFFFFF" w:val="clear"/>
              </w:rPr>
              <w:t>Distingue gli elementi basilari del linguaggio musicale anche all’interno di brani musicali con sicurezza ed autonomia.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Sa scrivere e leggere le note con buona  padronanza ed utilizza i simboli studiati con  sicurezza.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 </w:t>
            </w:r>
            <w:r>
              <w:rPr>
                <w:sz w:val="20"/>
                <w:szCs w:val="20"/>
                <w:shd w:fill="FFFFFF" w:val="clear"/>
              </w:rPr>
              <w:t>Sa utilizzare semplici spartiti per l’esecuzione vocale e strumentale.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L’alunno partecipa in modo attivo alla realizzazione di esperienze musicali attraverso l’esecuzione e l’interpretazione di brani strumentali e vocali appartenenti a generi e culture differenti.  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Comprende e valuta eventi, materiali, opere musicali riconoscendone i significati, anche in relazione alla propria esperienza musicale e ai diversi contesti storico-culturali. 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 </w:t>
            </w:r>
            <w:r>
              <w:rPr>
                <w:sz w:val="20"/>
                <w:szCs w:val="20"/>
                <w:shd w:fill="FFFFFF" w:val="clear"/>
              </w:rPr>
              <w:t>Integra con altri saperi e altre pratiche artistiche le proprie esperienze musicali, servendosi anche di appropriati codici e sistemi di codifica.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Si esprime con la voce e lo strumento con precisione ritmico- melodica e in piena autonomia..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Ha padronanza approfondita delle conoscenze ed abilità acquisite, collaborando  e partecipando  in modo attivo e propositivo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Grigliatabella"/>
        <w:tblW w:w="1427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55"/>
        <w:gridCol w:w="11022"/>
      </w:tblGrid>
      <w:tr>
        <w:trPr/>
        <w:tc>
          <w:tcPr>
            <w:tcW w:w="14277" w:type="dxa"/>
            <w:gridSpan w:val="2"/>
            <w:tcBorders/>
            <w:shd w:color="auto" w:fill="FFE599" w:themeFill="accent4" w:themeFillTint="66" w:val="clear"/>
          </w:tcPr>
          <w:p>
            <w:pPr>
              <w:pStyle w:val="Normal"/>
              <w:pageBreakBefore/>
              <w:widowControl/>
              <w:suppressAutoHyphens w:val="true"/>
              <w:spacing w:lineRule="auto" w:line="204" w:before="0" w:after="0"/>
              <w:ind w:firstLine="22"/>
              <w:contextualSpacing/>
              <w:jc w:val="center"/>
              <w:rPr>
                <w:rFonts w:ascii="Calibri Light" w:hAnsi="Calibri Light" w:eastAsia="" w:cs="" w:asciiTheme="majorHAnsi" w:cstheme="majorBidi" w:eastAsiaTheme="majorEastAsia" w:hAnsiTheme="majorHAnsi"/>
                <w:caps/>
                <w:color w:themeColor="text2" w:val="44546A"/>
                <w:spacing w:val="-15"/>
                <w:sz w:val="72"/>
                <w:szCs w:val="72"/>
              </w:rPr>
            </w:pPr>
            <w:r>
              <w:rPr>
                <w:rFonts w:eastAsia="" w:cs="" w:ascii="Calibri Light" w:hAnsi="Calibri Light" w:asciiTheme="majorHAnsi" w:cstheme="majorBidi" w:eastAsiaTheme="majorEastAsia" w:hAnsiTheme="majorHAnsi"/>
                <w:caps/>
                <w:color w:themeColor="text2" w:val="44546A"/>
                <w:spacing w:val="-15"/>
                <w:kern w:val="0"/>
                <w:sz w:val="72"/>
                <w:szCs w:val="72"/>
                <w:lang w:val="it-IT" w:eastAsia="en-US" w:bidi="ar-SA"/>
              </w:rPr>
              <w:t>MUSICA classe 2</w:t>
            </w:r>
            <w:r>
              <w:rPr>
                <w:rFonts w:eastAsia="" w:cs="" w:ascii="Calibri Light" w:hAnsi="Calibri Light" w:asciiTheme="majorHAnsi" w:cstheme="majorBidi" w:eastAsiaTheme="majorEastAsia" w:hAnsiTheme="majorHAnsi"/>
                <w:caps/>
                <w:color w:themeColor="text2" w:val="44546A"/>
                <w:spacing w:val="-15"/>
                <w:kern w:val="0"/>
                <w:sz w:val="72"/>
                <w:szCs w:val="72"/>
                <w:vertAlign w:val="superscript"/>
                <w:lang w:val="it-IT" w:eastAsia="en-US" w:bidi="ar-SA"/>
              </w:rPr>
              <w:t xml:space="preserve">a </w:t>
            </w:r>
            <w:r>
              <w:rPr>
                <w:rFonts w:eastAsia="" w:cs="" w:ascii="Calibri Light" w:hAnsi="Calibri Light" w:asciiTheme="majorHAnsi" w:cstheme="majorBidi" w:eastAsiaTheme="majorEastAsia" w:hAnsiTheme="majorHAnsi"/>
                <w:caps/>
                <w:color w:themeColor="text2" w:val="44546A"/>
                <w:spacing w:val="-15"/>
                <w:kern w:val="0"/>
                <w:sz w:val="72"/>
                <w:szCs w:val="72"/>
                <w:lang w:val="it-IT" w:eastAsia="en-US" w:bidi="ar-SA"/>
              </w:rPr>
              <w:t>SECONDARIA DI I GRADO</w:t>
            </w:r>
          </w:p>
        </w:tc>
      </w:tr>
      <w:tr>
        <w:trPr/>
        <w:tc>
          <w:tcPr>
            <w:tcW w:w="3255" w:type="dxa"/>
            <w:tcBorders/>
            <w:shd w:color="auto" w:fill="FFF2CC" w:themeFill="accent4" w:themeFillTint="33" w:val="clear"/>
          </w:tcPr>
          <w:p>
            <w:pPr>
              <w:pStyle w:val="Normal"/>
              <w:widowControl/>
              <w:suppressAutoHyphens w:val="true"/>
              <w:spacing w:before="0" w:after="120"/>
              <w:ind w:left="283"/>
              <w:jc w:val="center"/>
              <w:rPr>
                <w:b/>
              </w:rPr>
            </w:pPr>
            <w:r>
              <w:rPr>
                <w:rFonts w:eastAsia="" w:cs=""/>
                <w:b/>
                <w:kern w:val="0"/>
                <w:sz w:val="22"/>
                <w:szCs w:val="22"/>
                <w:lang w:val="it-IT" w:eastAsia="en-US" w:bidi="ar-SA"/>
              </w:rPr>
              <w:t xml:space="preserve">NUCLEI TEMATICI </w:t>
            </w:r>
          </w:p>
        </w:tc>
        <w:tc>
          <w:tcPr>
            <w:tcW w:w="11022" w:type="dxa"/>
            <w:tcBorders/>
            <w:shd w:color="auto" w:fill="FFF2CC" w:themeFill="accent4" w:themeFillTint="33" w:val="clear"/>
          </w:tcPr>
          <w:p>
            <w:pPr>
              <w:pStyle w:val="Normal"/>
              <w:widowControl/>
              <w:suppressAutoHyphens w:val="true"/>
              <w:spacing w:before="0" w:after="120"/>
              <w:ind w:left="283"/>
              <w:jc w:val="center"/>
              <w:rPr>
                <w:b/>
              </w:rPr>
            </w:pPr>
            <w:r>
              <w:rPr>
                <w:rFonts w:eastAsia="" w:cs=""/>
                <w:b/>
                <w:kern w:val="0"/>
                <w:sz w:val="22"/>
                <w:szCs w:val="22"/>
                <w:lang w:val="it-IT" w:eastAsia="en-US" w:bidi="ar-SA"/>
              </w:rPr>
              <w:t>ABILTÀ</w:t>
            </w:r>
          </w:p>
        </w:tc>
      </w:tr>
      <w:tr>
        <w:trPr>
          <w:trHeight w:val="942" w:hRule="atLeast"/>
        </w:trPr>
        <w:tc>
          <w:tcPr>
            <w:tcW w:w="3255" w:type="dxa"/>
            <w:tcBorders/>
          </w:tcPr>
          <w:p>
            <w:pPr>
              <w:pStyle w:val="Indicazioninormale"/>
              <w:suppressAutoHyphens w:val="true"/>
              <w:spacing w:before="0" w:after="0"/>
              <w:ind w:firstLine="22" w:left="0"/>
              <w:contextualSpacing/>
              <w:jc w:val="left"/>
              <w:rPr>
                <w:rFonts w:ascii="Calibri" w:hAnsi="Calibri" w:cs="Calibri" w:asciiTheme="minorHAnsi" w:cs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2"/>
                <w:szCs w:val="22"/>
                <w:lang w:val="it-IT" w:eastAsia="en-US" w:bidi="ar-SA"/>
              </w:rPr>
              <w:t>FRUIZIONE E PRODUZIONE</w:t>
            </w:r>
          </w:p>
        </w:tc>
        <w:tc>
          <w:tcPr>
            <w:tcW w:w="1102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 xml:space="preserve">Eseguire collettivamente e individualmente, brani vocali e strumentali di diversi generi e stili, anche avvalendosi di strumentazioni elettroniche.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 xml:space="preserve">Improvvisare brani musicali vocali, utilizzando semplici schemi ritmico-melodici.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>Riconoscere anche stilisticamente i più importanti elementi costitutivi del linguaggio musicale.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 xml:space="preserve">Conoscere e descrivere in modo critico opere d’arte musicali e realizza eventi sonori che integrino altre forme artistiche, quali danza, teatro, arti visive e multimediali.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>Decodificare e utilizzare la notazione tradizionale e altri sistemi di scrittura.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>Orientare la costruzione della propria identità musicale, ampliarne l’orizzonte valorizzando le proprie esperienze, il percorso svolto e le opportunità offerte dal contesto.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6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" w:cs=""/>
                <w:kern w:val="0"/>
                <w:sz w:val="28"/>
                <w:szCs w:val="28"/>
                <w:lang w:val="it-IT" w:eastAsia="en-US" w:bidi="ar-SA"/>
              </w:rPr>
              <w:t>Accedere alle risorse musicali presenti in rete.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4427" w:type="dxa"/>
        <w:jc w:val="left"/>
        <w:tblInd w:w="2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885"/>
        <w:gridCol w:w="2885"/>
        <w:gridCol w:w="2886"/>
        <w:gridCol w:w="2885"/>
        <w:gridCol w:w="2886"/>
      </w:tblGrid>
      <w:tr>
        <w:trPr>
          <w:trHeight w:val="287" w:hRule="atLeast"/>
        </w:trPr>
        <w:tc>
          <w:tcPr>
            <w:tcW w:w="14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FFE599" w:themeFill="accent4" w:themeFillTint="66" w:val="clear"/>
          </w:tcPr>
          <w:p>
            <w:pPr>
              <w:pStyle w:val="Normal"/>
              <w:pageBreakBefore/>
              <w:spacing w:before="0" w:after="160"/>
              <w:jc w:val="center"/>
              <w:rPr/>
            </w:pPr>
            <w:r>
              <w:rPr/>
              <w:t>LIVELLI DI APPRENDIMENTO – Al termine della classe Seconda</w:t>
            </w:r>
          </w:p>
        </w:tc>
      </w:tr>
      <w:tr>
        <w:trPr>
          <w:trHeight w:val="296" w:hRule="atLeast"/>
        </w:trPr>
        <w:tc>
          <w:tcPr>
            <w:tcW w:w="28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themeFill="accent6" w:themeFillTint="99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NON ADEGUATO (4 – 5)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BASILARE (6)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ADEGUATO (7)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AVANZATO (8)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AAC" w:themeFill="accent2" w:themeFillTint="66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ECCELLENTE (9 – 10)</w:t>
            </w:r>
          </w:p>
        </w:tc>
      </w:tr>
      <w:tr>
        <w:trPr>
          <w:trHeight w:val="7328" w:hRule="atLeast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spacing w:before="0" w:after="0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L’alunno ascolta brani musicali e li commenta  solo dal punto di vista delle sollecitazioni emotive.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Se guidato,  suona semplici melodie in modo approssimativo.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Canta in coro, non sempre con uso appropriato della voce.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Distingue  alcune caratteristiche fondamentali dei suoni. 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Se guidato, sa riconoscere i simboli musicali e riesce a scrivere le note, ma   con difficoltà e con  molte imprecisioni.</w:t>
            </w:r>
          </w:p>
          <w:p>
            <w:pPr>
              <w:pStyle w:val="Normal"/>
              <w:tabs>
                <w:tab w:val="clear" w:pos="708"/>
                <w:tab w:val="left" w:pos="1890" w:leader="none"/>
              </w:tabs>
              <w:spacing w:before="0" w:after="160"/>
              <w:rPr>
                <w:color w:themeColor="background1" w:val="FFFFFF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L’alunno, nell’ascolto di brani musicali, esprime apprezzamenti non solo rispetto alle sollecitazioni emotive, ma anche sotto l’aspetto estetico, ad esempio confrontando generi diversi. 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Riproduce eventi sonori e semplici brani musicali, anche in gruppo, con strumenti non convenzionali e convenzionali.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Canta in coro mantenendo una sufficiente  sintonia con gli altri. 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Conosce ed usa la notazione musicale con diverse imprecisioni; inoltre, è in grado di  rappresentarla  con la voce e con i più semplici strumenti convenzionali non sempre in modo adeguato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L’alunno esplora, discrimina ed elabora eventi sonori dal punto di vista qualitativo, spaziale e in riferimento alla loro fonte. 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 </w:t>
            </w:r>
            <w:r>
              <w:rPr>
                <w:sz w:val="20"/>
                <w:szCs w:val="20"/>
                <w:shd w:fill="FFFFFF" w:val="clear"/>
              </w:rPr>
              <w:t>Esplora diverse possibilità espressive della voce, di oggetti sonori e strumenti musicali, imparando ad ascoltare se stesso e gli altri.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Improvvisa liberamente e in modo creativo, imparando gradualmente a dominare tecniche e materiali.   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Esegue, da solo e in gruppo, semplici brani vocali o strumentali, appartenenti a generi e culture differenti, in modo abbastanza corretto.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Riconosce discretamente gli elementi costitutivi di un semplice brano musicale.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Ascolta, interpreta e descrive brani musicali di diverso genere, collaborando e partecipando adeguatamente.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L’alunno esegue collettivamente e individualmente brani vocali/strumentali anche polifonici curando intonazione, espressività, interpretazione.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 </w:t>
            </w:r>
            <w:r>
              <w:rPr>
                <w:sz w:val="20"/>
                <w:szCs w:val="20"/>
                <w:shd w:fill="FFFFFF" w:val="clear"/>
              </w:rPr>
              <w:t>Distingue gli elementi basilari del linguaggio musicale anche all’interno di brani musicali con sicurezza ed autonomia.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Sa scrivere e leggere le note con buona  padronanza ed utilizza i simboli studiati con  sicurezza.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 xml:space="preserve"> </w:t>
            </w:r>
            <w:r>
              <w:rPr>
                <w:sz w:val="20"/>
                <w:szCs w:val="20"/>
                <w:shd w:fill="FFFFFF" w:val="clear"/>
              </w:rPr>
              <w:t>Sa utilizzare semplici spartiti per l’esecuzione vocale e strumentale.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themeFill="accent4" w:val="clear"/>
          </w:tcPr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L’alunno partecipa in modo attivo alla realizzazione di esperienze musicali attraverso l’esecuzione e l’interpretazione di brani strumentali e vocali appartenenti a generi e culture differenti.  </w:t>
            </w:r>
          </w:p>
          <w:p>
            <w:pPr>
              <w:pStyle w:val="Normal"/>
              <w:spacing w:before="0" w:after="0"/>
              <w:rPr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Comprende e valuta eventi, materiali, opere musicali riconoscendone i significati, anche in relazione ai diversi contesti storico-culturali.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Si esprime con la voce e lo strumento con precisione ritmico- melodica e in piena autonomia.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Ha padronanza approfondita delle conoscenze ed abilità acquisite, collaborando  e partecipando  in modo attivo e propositivo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Grigliatabella"/>
        <w:tblW w:w="1427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55"/>
        <w:gridCol w:w="11022"/>
      </w:tblGrid>
      <w:tr>
        <w:trPr/>
        <w:tc>
          <w:tcPr>
            <w:tcW w:w="14277" w:type="dxa"/>
            <w:gridSpan w:val="2"/>
            <w:tcBorders/>
            <w:shd w:color="auto" w:fill="FFE599" w:themeFill="accent4" w:themeFillTint="66" w:val="clear"/>
          </w:tcPr>
          <w:p>
            <w:pPr>
              <w:pStyle w:val="Normal"/>
              <w:pageBreakBefore/>
              <w:widowControl/>
              <w:suppressAutoHyphens w:val="true"/>
              <w:spacing w:lineRule="auto" w:line="204" w:before="0" w:after="0"/>
              <w:ind w:firstLine="22"/>
              <w:contextualSpacing/>
              <w:jc w:val="center"/>
              <w:rPr>
                <w:rFonts w:ascii="Calibri Light" w:hAnsi="Calibri Light" w:eastAsia="" w:cs="" w:asciiTheme="majorHAnsi" w:cstheme="majorBidi" w:eastAsiaTheme="majorEastAsia" w:hAnsiTheme="majorHAnsi"/>
                <w:caps/>
                <w:color w:themeColor="text2" w:val="44546A"/>
                <w:spacing w:val="-15"/>
                <w:sz w:val="72"/>
                <w:szCs w:val="72"/>
                <w:vertAlign w:val="superscript"/>
              </w:rPr>
            </w:pPr>
            <w:r>
              <w:rPr>
                <w:rFonts w:eastAsia="" w:cs="" w:ascii="Calibri Light" w:hAnsi="Calibri Light" w:asciiTheme="majorHAnsi" w:cstheme="majorBidi" w:eastAsiaTheme="majorEastAsia" w:hAnsiTheme="majorHAnsi"/>
                <w:caps/>
                <w:color w:themeColor="text2" w:val="44546A"/>
                <w:spacing w:val="-15"/>
                <w:kern w:val="0"/>
                <w:sz w:val="72"/>
                <w:szCs w:val="72"/>
                <w:lang w:val="it-IT" w:eastAsia="en-US" w:bidi="ar-SA"/>
              </w:rPr>
              <w:t>MUSICA classe 3</w:t>
            </w:r>
            <w:r>
              <w:rPr>
                <w:rFonts w:eastAsia="" w:cs="" w:ascii="Calibri Light" w:hAnsi="Calibri Light" w:asciiTheme="majorHAnsi" w:cstheme="majorBidi" w:eastAsiaTheme="majorEastAsia" w:hAnsiTheme="majorHAnsi"/>
                <w:caps/>
                <w:color w:themeColor="text2" w:val="44546A"/>
                <w:spacing w:val="-15"/>
                <w:kern w:val="0"/>
                <w:sz w:val="72"/>
                <w:szCs w:val="72"/>
                <w:vertAlign w:val="superscript"/>
                <w:lang w:val="it-IT" w:eastAsia="en-US" w:bidi="ar-SA"/>
              </w:rPr>
              <w:t xml:space="preserve">a </w:t>
            </w:r>
            <w:r>
              <w:rPr>
                <w:rFonts w:eastAsia="" w:cs="" w:ascii="Calibri Light" w:hAnsi="Calibri Light" w:asciiTheme="majorHAnsi" w:cstheme="majorBidi" w:eastAsiaTheme="majorEastAsia" w:hAnsiTheme="majorHAnsi"/>
                <w:caps/>
                <w:color w:themeColor="text2" w:val="44546A"/>
                <w:spacing w:val="-15"/>
                <w:kern w:val="0"/>
                <w:sz w:val="72"/>
                <w:szCs w:val="72"/>
                <w:lang w:val="it-IT" w:eastAsia="en-US" w:bidi="ar-SA"/>
              </w:rPr>
              <w:t>SECONDARIA DI I GRADO</w:t>
            </w:r>
          </w:p>
        </w:tc>
      </w:tr>
      <w:tr>
        <w:trPr/>
        <w:tc>
          <w:tcPr>
            <w:tcW w:w="3255" w:type="dxa"/>
            <w:tcBorders/>
            <w:shd w:color="auto" w:fill="FFF2CC" w:themeFill="accent4" w:themeFillTint="33" w:val="clear"/>
          </w:tcPr>
          <w:p>
            <w:pPr>
              <w:pStyle w:val="Normal"/>
              <w:widowControl/>
              <w:suppressAutoHyphens w:val="true"/>
              <w:spacing w:before="0" w:after="120"/>
              <w:ind w:left="283"/>
              <w:jc w:val="center"/>
              <w:rPr>
                <w:b/>
              </w:rPr>
            </w:pPr>
            <w:r>
              <w:rPr>
                <w:rFonts w:eastAsia="" w:cs=""/>
                <w:b/>
                <w:kern w:val="0"/>
                <w:sz w:val="22"/>
                <w:szCs w:val="22"/>
                <w:lang w:val="it-IT" w:eastAsia="en-US" w:bidi="ar-SA"/>
              </w:rPr>
              <w:t xml:space="preserve">NUCLEO TEMATICO </w:t>
            </w:r>
          </w:p>
        </w:tc>
        <w:tc>
          <w:tcPr>
            <w:tcW w:w="11022" w:type="dxa"/>
            <w:tcBorders/>
            <w:shd w:color="auto" w:fill="FFF2CC" w:themeFill="accent4" w:themeFillTint="33" w:val="clear"/>
          </w:tcPr>
          <w:p>
            <w:pPr>
              <w:pStyle w:val="Normal"/>
              <w:widowControl/>
              <w:suppressAutoHyphens w:val="true"/>
              <w:spacing w:before="0" w:after="120"/>
              <w:ind w:left="283"/>
              <w:jc w:val="center"/>
              <w:rPr>
                <w:b/>
              </w:rPr>
            </w:pPr>
            <w:r>
              <w:rPr>
                <w:rFonts w:eastAsia="" w:cs=""/>
                <w:b/>
                <w:kern w:val="0"/>
                <w:sz w:val="22"/>
                <w:szCs w:val="22"/>
                <w:lang w:val="it-IT" w:eastAsia="en-US" w:bidi="ar-SA"/>
              </w:rPr>
              <w:t>ABILTÀ</w:t>
            </w:r>
          </w:p>
        </w:tc>
      </w:tr>
      <w:tr>
        <w:trPr>
          <w:trHeight w:val="2854" w:hRule="atLeast"/>
        </w:trPr>
        <w:tc>
          <w:tcPr>
            <w:tcW w:w="325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22" w:left="0"/>
              <w:contextualSpacing/>
              <w:jc w:val="both"/>
              <w:rPr>
                <w:rFonts w:cs="Calibri" w:cstheme="minorHAnsi"/>
                <w:b/>
                <w:color w:val="231F20"/>
              </w:rPr>
            </w:pPr>
            <w:r>
              <w:rPr>
                <w:rFonts w:eastAsia="" w:cs="Calibri" w:cstheme="minorHAnsi"/>
                <w:b/>
                <w:color w:val="231F20"/>
                <w:kern w:val="0"/>
                <w:sz w:val="22"/>
                <w:szCs w:val="22"/>
                <w:lang w:val="it-IT" w:eastAsia="en-US" w:bidi="ar-SA"/>
              </w:rPr>
              <w:t>FRUIZIONE E PRODUZIONE</w:t>
            </w:r>
          </w:p>
        </w:tc>
        <w:tc>
          <w:tcPr>
            <w:tcW w:w="110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ind w:left="22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>•</w:t>
            </w: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>Eseguire in modo espressivo, collettivamente e individualmente, brani vocali e strumentali di diversi generi e stili, anche avvalendosi di strumentazioni elettroniche.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20"/>
              <w:ind w:left="22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>•</w:t>
            </w: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 xml:space="preserve">Improvvisare, rielaborare, comporre brani musicali vocali e strumentali, utilizzando sia strutture aperte, sia semplici schemi ritmico-melodici.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20"/>
              <w:ind w:left="22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>•</w:t>
            </w: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 xml:space="preserve">Riconoscere e classificare anche stilisticamente i più importanti elementi costitutivi del linguaggio musicale.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20"/>
              <w:ind w:left="22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>•</w:t>
            </w: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>Conoscere, descrivere e interpretare in modo critico opere d’arte musicali e progettare/realizzare eventi sonori che integrino altre forme artistiche, quali danza, teatro, arti visive e multimediali.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20"/>
              <w:ind w:left="22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>•</w:t>
            </w: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 xml:space="preserve">Decodificare e utilizzare la notazione tradizionale e altri sistemi di scrittura.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20"/>
              <w:ind w:left="22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>•</w:t>
            </w: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 xml:space="preserve">Orientare la costruzione della propria identità musicale, ampliarne l’orizzonte valorizzando le proprie esperienze, il percorso svolto e le opportunità offerte dal contesto. 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22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>•</w:t>
            </w:r>
            <w:r>
              <w:rPr>
                <w:rFonts w:eastAsia="" w:cs=""/>
                <w:kern w:val="0"/>
                <w:sz w:val="24"/>
                <w:szCs w:val="24"/>
                <w:lang w:val="it-IT" w:eastAsia="en-US" w:bidi="ar-SA"/>
              </w:rPr>
              <w:t>Accedere alle risorse musicali presenti in rete e utilizzare software specifici per elaborazioni sonore e musicali.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4769" w:type="dxa"/>
        <w:jc w:val="left"/>
        <w:tblInd w:w="2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884"/>
        <w:gridCol w:w="2886"/>
        <w:gridCol w:w="2884"/>
        <w:gridCol w:w="2886"/>
        <w:gridCol w:w="3229"/>
      </w:tblGrid>
      <w:tr>
        <w:trPr>
          <w:trHeight w:val="287" w:hRule="atLeast"/>
        </w:trPr>
        <w:tc>
          <w:tcPr>
            <w:tcW w:w="14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FFE599" w:themeFill="accent4" w:themeFillTint="66" w:val="clear"/>
          </w:tcPr>
          <w:p>
            <w:pPr>
              <w:pStyle w:val="Normal"/>
              <w:pageBreakBefore/>
              <w:spacing w:before="0" w:after="160"/>
              <w:jc w:val="center"/>
              <w:rPr/>
            </w:pPr>
            <w:r>
              <w:rPr/>
              <w:t>LIVELLI DI APPRENDIMENTO – Al termine della classe Terza</w:t>
            </w:r>
          </w:p>
        </w:tc>
      </w:tr>
      <w:tr>
        <w:trPr>
          <w:trHeight w:val="296" w:hRule="atLeast"/>
        </w:trPr>
        <w:tc>
          <w:tcPr>
            <w:tcW w:w="28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themeFill="accent6" w:themeFillTint="99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NON ADEGUATO (4 – 5)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BASILARE (6)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ADEGUATO (7)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themeFill="accent2" w:themeFillTint="33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AVANZATO (8)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AAC" w:themeFill="accent2" w:themeFillTint="66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ECCELLENTE (9 – 10)</w:t>
            </w:r>
          </w:p>
        </w:tc>
      </w:tr>
      <w:tr>
        <w:trPr>
          <w:trHeight w:val="9407" w:hRule="atLeast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L’alunno ascolta brani musicali e li commenta  soltanto dal punto di vista delle sollecitazioni emotive. 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Canta in coro, non sempre con uso adeguato della voce.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Distingue alcune caratteristiche fondamentali dei suoni.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Se guidato, suona semplici melodie in modo poco  curato ed attento.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Se guidato, sa riconoscere e scrivere le note  ma con molte imprecisioni.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L’alunno, nell’ascolto di brani musicali, esprime apprezzamenti non solo rispetto alle sollecitazioni emotive, ma anche sotto l’aspetto estetico, ad esempio confrontando generi diversi.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 </w:t>
            </w:r>
            <w:r>
              <w:rPr>
                <w:shd w:fill="FFFFFF" w:val="clear"/>
              </w:rPr>
              <w:t>Riproduce eventi sonori e semplici brani musicali, anche in gruppo, con strumenti non convenzionali e convenzionali.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 </w:t>
            </w:r>
            <w:r>
              <w:rPr>
                <w:shd w:fill="FFFFFF" w:val="clear"/>
              </w:rPr>
              <w:t xml:space="preserve">Canta in coro mantenendo una soddisfacente sintonia con gli altri. 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Conosce la notazione musicale  con diverse imprecisioni e la sa rappresentare con la voce e con i più semplici strumenti convenzionali, ma  non sempre in modo adeguato.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L’alunno esplora, discrimina ed elabora eventi sonori dal punto di vista qualitativo, spaziale e in riferimento alla loro fonte. 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Esplora diverse possibilità espressive della voce, di oggetti sonori e strumenti musicali, imparando ad ascoltare se stesso e gli altri.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 </w:t>
            </w:r>
            <w:r>
              <w:rPr>
                <w:shd w:fill="FFFFFF" w:val="clear"/>
              </w:rPr>
              <w:t>Fa uso di forme di notazione analogiche o codificate.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Articola combinazioni timbriche, ritmiche e melodiche, applicando schemi elementari; le esegue con la voce, il corpo e gli strumenti, ivi compresi quelli della tecnologia informatica. Improvvisa liberamente e in modo creativo, imparando gradualmente a dominare tecniche e materiali. 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 </w:t>
            </w:r>
            <w:r>
              <w:rPr>
                <w:shd w:fill="FFFFFF" w:val="clear"/>
              </w:rPr>
              <w:t>Esegue, da solo e in gruppo, semplici brani vocali o strumentali, appartenenti a generi e culture differenti, con discreta padronanza.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Riconosce gli elementi costitutivi di un semplice brano musicale in modo abbastanza corretto.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  </w:t>
            </w:r>
            <w:r>
              <w:rPr>
                <w:shd w:fill="FFFFFF" w:val="clear"/>
              </w:rPr>
              <w:t>Ascolta, interpreta e descrive brani musicali di diverso genere, collaborando e partecipando adeguatamente.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L’alunno esegue collettivamente e individualmente brani vocali/strumentali anche polifonici curando intonazione, espressività, interpretazione. 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Distingue gli elementi basilari del linguaggio musicale anche all’interno di brani musicali. 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Sa scrivere e  leggere le note con buona padronanza,  utilizzando con sicurezza  i simboli musicali.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Sa utilizzare semplici spartiti per l’esecuzione vocale e strumentale.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L’alunno partecipa in modo attivo alla realizzazione di esperienze musicali attraverso l’esecuzione e l’interpretazione di brani strumentali e vocali appartenenti a generi e culture differenti.  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Usa diversi sistemi di notazione funzionali alla lettura, all’analisi e alla riproduzione di brani musicali.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 </w:t>
            </w:r>
            <w:r>
              <w:rPr>
                <w:shd w:fill="FFFFFF" w:val="clear"/>
              </w:rPr>
              <w:t>È in grado di ideare e realizzare, anche attraverso l’improvvisazione o partecipando a processi di elaborazione collettiva, messaggi musicali e multimediali, nel confronto critico con modelli appartenenti al patrimonio musicale, utilizzando anche sistemi informatici.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 </w:t>
            </w:r>
            <w:r>
              <w:rPr>
                <w:shd w:fill="FFFFFF" w:val="clear"/>
              </w:rPr>
              <w:t xml:space="preserve">Comprende e valuta eventi, materiali, opere musicali riconoscendone i significati, anche in relazione alla propria esperienza musicale e ai diversi contesti storico-culturali. 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 </w:t>
            </w:r>
            <w:r>
              <w:rPr>
                <w:shd w:fill="FFFFFF" w:val="clear"/>
              </w:rPr>
              <w:t>Integra con altri saperi e altre pratiche artistiche le proprie esperienze musicali, servendosi anche di appropriati codici e sistemi di codifica.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Ha padronanza delle conoscenze e delle abilità acquisite.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Collabora e partecipa in modo attivo  e propositivo.</w:t>
            </w:r>
          </w:p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SI esprime con il canto e con lo strumento musicale con precisione ritmico-melodica e in piena autonomia.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gutter="0" w:header="0" w:top="567" w:footer="0" w:bottom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e11f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en-US" w:bidi="ar-SA"/>
    </w:rPr>
  </w:style>
  <w:style w:type="paragraph" w:styleId="Heading1" w:customStyle="1">
    <w:name w:val="Heading 1"/>
    <w:basedOn w:val="Normal"/>
    <w:next w:val="Normal"/>
    <w:link w:val="Titolo1Carattere"/>
    <w:uiPriority w:val="9"/>
    <w:qFormat/>
    <w:rsid w:val="00bf1ded"/>
    <w:pPr>
      <w:keepNext w:val="true"/>
      <w:keepLines/>
      <w:spacing w:lineRule="auto" w:line="240" w:before="400" w:after="4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sz w:val="36"/>
      <w:szCs w:val="36"/>
    </w:rPr>
  </w:style>
  <w:style w:type="paragraph" w:styleId="Heading2" w:customStyle="1">
    <w:name w:val="Heading 2"/>
    <w:basedOn w:val="Normal"/>
    <w:next w:val="Normal"/>
    <w:link w:val="Titolo2Carattere"/>
    <w:uiPriority w:val="9"/>
    <w:semiHidden/>
    <w:unhideWhenUsed/>
    <w:qFormat/>
    <w:rsid w:val="00bf1ded"/>
    <w:pPr>
      <w:keepNext w:val="true"/>
      <w:keepLines/>
      <w:spacing w:lineRule="auto" w:line="240"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3" w:customStyle="1">
    <w:name w:val="Heading 3"/>
    <w:basedOn w:val="Normal"/>
    <w:next w:val="Normal"/>
    <w:link w:val="Titolo3Carattere"/>
    <w:uiPriority w:val="9"/>
    <w:semiHidden/>
    <w:unhideWhenUsed/>
    <w:qFormat/>
    <w:rsid w:val="00bf1ded"/>
    <w:pPr>
      <w:keepNext w:val="true"/>
      <w:keepLines/>
      <w:spacing w:lineRule="auto" w:line="240"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8"/>
      <w:szCs w:val="28"/>
    </w:rPr>
  </w:style>
  <w:style w:type="paragraph" w:styleId="Heading4" w:customStyle="1">
    <w:name w:val="Heading 4"/>
    <w:basedOn w:val="Normal"/>
    <w:next w:val="Normal"/>
    <w:link w:val="Titolo4Carattere"/>
    <w:uiPriority w:val="9"/>
    <w:semiHidden/>
    <w:unhideWhenUsed/>
    <w:qFormat/>
    <w:rsid w:val="00bf1ded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4"/>
      <w:szCs w:val="24"/>
    </w:rPr>
  </w:style>
  <w:style w:type="paragraph" w:styleId="Heading5" w:customStyle="1">
    <w:name w:val="Heading 5"/>
    <w:basedOn w:val="Normal"/>
    <w:next w:val="Normal"/>
    <w:link w:val="Titolo5Carattere"/>
    <w:uiPriority w:val="9"/>
    <w:semiHidden/>
    <w:unhideWhenUsed/>
    <w:qFormat/>
    <w:rsid w:val="00bf1ded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aps/>
      <w:color w:themeColor="accent1" w:themeShade="bf" w:val="2E74B5"/>
    </w:rPr>
  </w:style>
  <w:style w:type="paragraph" w:styleId="Heading6" w:customStyle="1">
    <w:name w:val="Heading 6"/>
    <w:basedOn w:val="Normal"/>
    <w:next w:val="Normal"/>
    <w:link w:val="Titolo6Carattere"/>
    <w:uiPriority w:val="9"/>
    <w:semiHidden/>
    <w:unhideWhenUsed/>
    <w:qFormat/>
    <w:rsid w:val="00bf1ded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aps/>
      <w:color w:themeColor="accent1" w:themeShade="80" w:val="1F4E79"/>
    </w:rPr>
  </w:style>
  <w:style w:type="paragraph" w:styleId="Heading7" w:customStyle="1">
    <w:name w:val="Heading 7"/>
    <w:basedOn w:val="Normal"/>
    <w:next w:val="Normal"/>
    <w:link w:val="Titolo7Carattere"/>
    <w:uiPriority w:val="9"/>
    <w:semiHidden/>
    <w:unhideWhenUsed/>
    <w:qFormat/>
    <w:rsid w:val="00bf1ded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80" w:val="1F4E79"/>
    </w:rPr>
  </w:style>
  <w:style w:type="paragraph" w:styleId="Heading8" w:customStyle="1">
    <w:name w:val="Heading 8"/>
    <w:basedOn w:val="Normal"/>
    <w:next w:val="Normal"/>
    <w:link w:val="Titolo8Carattere"/>
    <w:uiPriority w:val="9"/>
    <w:semiHidden/>
    <w:unhideWhenUsed/>
    <w:qFormat/>
    <w:rsid w:val="00bf1ded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themeShade="80" w:val="1F4E79"/>
    </w:rPr>
  </w:style>
  <w:style w:type="paragraph" w:styleId="Heading9" w:customStyle="1">
    <w:name w:val="Heading 9"/>
    <w:basedOn w:val="Normal"/>
    <w:next w:val="Normal"/>
    <w:link w:val="Titolo9Carattere"/>
    <w:uiPriority w:val="9"/>
    <w:semiHidden/>
    <w:unhideWhenUsed/>
    <w:qFormat/>
    <w:rsid w:val="00bf1ded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80" w:val="1F4E7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Carattere" w:customStyle="1">
    <w:name w:val="Titolo Carattere"/>
    <w:basedOn w:val="DefaultParagraphFont"/>
    <w:uiPriority w:val="10"/>
    <w:qFormat/>
    <w:rsid w:val="00bf1ded"/>
    <w:rPr>
      <w:rFonts w:ascii="Calibri Light" w:hAnsi="Calibri Light" w:eastAsia="" w:cs="" w:asciiTheme="majorHAnsi" w:cstheme="majorBidi" w:eastAsiaTheme="majorEastAsia" w:hAnsiTheme="majorHAnsi"/>
      <w:caps/>
      <w:color w:themeColor="text2" w:val="44546A"/>
      <w:spacing w:val="-15"/>
      <w:sz w:val="72"/>
      <w:szCs w:val="72"/>
    </w:rPr>
  </w:style>
  <w:style w:type="character" w:styleId="Normale1" w:customStyle="1">
    <w:name w:val="Normale1"/>
    <w:uiPriority w:val="99"/>
    <w:qFormat/>
    <w:rsid w:val="00bc1f4a"/>
    <w:rPr>
      <w:rFonts w:ascii="Times New Roman" w:hAnsi="Times New Roman" w:cs="Times New Roman"/>
      <w:sz w:val="22"/>
    </w:rPr>
  </w:style>
  <w:style w:type="character" w:styleId="RientrocorpodeltestoCarattere" w:customStyle="1">
    <w:name w:val="Rientro corpo del testo Carattere"/>
    <w:basedOn w:val="DefaultParagraphFont"/>
    <w:uiPriority w:val="99"/>
    <w:semiHidden/>
    <w:qFormat/>
    <w:rsid w:val="00bc1f4a"/>
    <w:rPr/>
  </w:style>
  <w:style w:type="character" w:styleId="Titolo1Carattere" w:customStyle="1">
    <w:name w:val="Titolo 1 Carattere"/>
    <w:basedOn w:val="DefaultParagraphFont"/>
    <w:uiPriority w:val="9"/>
    <w:qFormat/>
    <w:rsid w:val="00bf1ded"/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sz w:val="36"/>
      <w:szCs w:val="36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bf1ded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bf1ded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bf1ded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4"/>
      <w:szCs w:val="24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bf1ded"/>
    <w:rPr>
      <w:rFonts w:ascii="Calibri Light" w:hAnsi="Calibri Light" w:eastAsia="" w:cs="" w:asciiTheme="majorHAnsi" w:cstheme="majorBidi" w:eastAsiaTheme="majorEastAsia" w:hAnsiTheme="majorHAnsi"/>
      <w:caps/>
      <w:color w:themeColor="accent1" w:themeShade="bf" w:val="2E74B5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bf1ded"/>
    <w:rPr>
      <w:rFonts w:ascii="Calibri Light" w:hAnsi="Calibri Light" w:eastAsia="" w:cs="" w:asciiTheme="majorHAnsi" w:cstheme="majorBidi" w:eastAsiaTheme="majorEastAsia" w:hAnsiTheme="majorHAnsi"/>
      <w:i/>
      <w:iCs/>
      <w:caps/>
      <w:color w:themeColor="accent1" w:themeShade="80" w:val="1F4E7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bf1ded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80" w:val="1F4E7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bf1ded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themeShade="80" w:val="1F4E79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bf1ded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80" w:val="1F4E79"/>
    </w:rPr>
  </w:style>
  <w:style w:type="character" w:styleId="SottotitoloCarattere" w:customStyle="1">
    <w:name w:val="Sottotitolo Carattere"/>
    <w:basedOn w:val="DefaultParagraphFont"/>
    <w:uiPriority w:val="11"/>
    <w:qFormat/>
    <w:rsid w:val="00bf1ded"/>
    <w:rPr>
      <w:rFonts w:ascii="Calibri Light" w:hAnsi="Calibri Light" w:eastAsia="" w:cs="" w:asciiTheme="majorHAnsi" w:cstheme="majorBidi" w:eastAsiaTheme="majorEastAsia" w:hAnsiTheme="majorHAnsi"/>
      <w:color w:themeColor="accent1" w:val="5B9BD5"/>
      <w:sz w:val="28"/>
      <w:szCs w:val="28"/>
    </w:rPr>
  </w:style>
  <w:style w:type="character" w:styleId="Strong">
    <w:name w:val="Strong"/>
    <w:basedOn w:val="DefaultParagraphFont"/>
    <w:uiPriority w:val="22"/>
    <w:qFormat/>
    <w:rsid w:val="00bf1ded"/>
    <w:rPr>
      <w:b/>
      <w:bCs/>
    </w:rPr>
  </w:style>
  <w:style w:type="character" w:styleId="Emphasis">
    <w:name w:val="Emphasis"/>
    <w:basedOn w:val="DefaultParagraphFont"/>
    <w:uiPriority w:val="20"/>
    <w:qFormat/>
    <w:rsid w:val="00bf1ded"/>
    <w:rPr>
      <w:i/>
      <w:iCs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bf1ded"/>
    <w:rPr>
      <w:color w:themeColor="text2" w:val="44546A"/>
      <w:sz w:val="24"/>
      <w:szCs w:val="24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bf1ded"/>
    <w:rPr>
      <w:rFonts w:ascii="Calibri Light" w:hAnsi="Calibri Light" w:eastAsia="" w:cs="" w:asciiTheme="majorHAnsi" w:cstheme="majorBidi" w:eastAsiaTheme="majorEastAsia" w:hAnsiTheme="majorHAnsi"/>
      <w:color w:themeColor="text2" w:val="44546A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f1ded"/>
    <w:rPr>
      <w:i/>
      <w:iCs/>
      <w:color w:themeColor="text1" w:themeTint="a6" w:val="595959"/>
    </w:rPr>
  </w:style>
  <w:style w:type="character" w:styleId="IntenseEmphasis">
    <w:name w:val="Intense Emphasis"/>
    <w:basedOn w:val="DefaultParagraphFont"/>
    <w:uiPriority w:val="21"/>
    <w:qFormat/>
    <w:rsid w:val="00bf1de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f1ded"/>
    <w:rPr>
      <w:smallCaps/>
      <w:color w:themeColor="text1" w:themeTint="a6" w:val="595959"/>
      <w:u w:val="none" w:color="7F7F7F" w:themeColor="dark1" w:themeTint="80"/>
    </w:rPr>
  </w:style>
  <w:style w:type="character" w:styleId="IntenseReference">
    <w:name w:val="Intense Reference"/>
    <w:basedOn w:val="DefaultParagraphFont"/>
    <w:uiPriority w:val="32"/>
    <w:qFormat/>
    <w:rsid w:val="00bf1ded"/>
    <w:rPr>
      <w:b/>
      <w:bCs/>
      <w:smallCaps/>
      <w:color w:themeColor="text2" w:val="44546A"/>
      <w:u w:val="single"/>
    </w:rPr>
  </w:style>
  <w:style w:type="character" w:styleId="BookTitle">
    <w:name w:val="Book Title"/>
    <w:basedOn w:val="DefaultParagraphFont"/>
    <w:uiPriority w:val="33"/>
    <w:qFormat/>
    <w:rsid w:val="00bf1ded"/>
    <w:rPr>
      <w:b/>
      <w:bCs/>
      <w:smallCaps/>
      <w:spacing w:val="1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c77a35"/>
    <w:pPr>
      <w:spacing w:lineRule="auto" w:line="276" w:before="0" w:after="140"/>
    </w:pPr>
    <w:rPr/>
  </w:style>
  <w:style w:type="paragraph" w:styleId="List">
    <w:name w:val="List"/>
    <w:basedOn w:val="BodyText"/>
    <w:rsid w:val="00c77a35"/>
    <w:pPr/>
    <w:rPr>
      <w:rFonts w:cs="Lucida Sans"/>
    </w:rPr>
  </w:style>
  <w:style w:type="paragraph" w:styleId="Caption" w:customStyle="1">
    <w:name w:val="Caption"/>
    <w:basedOn w:val="Normal"/>
    <w:qFormat/>
    <w:rsid w:val="00c77a3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c77a35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oloCarattere"/>
    <w:uiPriority w:val="10"/>
    <w:qFormat/>
    <w:rsid w:val="00bf1ded"/>
    <w:pPr>
      <w:spacing w:lineRule="auto" w:line="204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caps/>
      <w:color w:themeColor="text2" w:val="44546A"/>
      <w:spacing w:val="-15"/>
      <w:sz w:val="72"/>
      <w:szCs w:val="72"/>
    </w:rPr>
  </w:style>
  <w:style w:type="paragraph" w:styleId="ListParagraph">
    <w:name w:val="List Paragraph"/>
    <w:basedOn w:val="Normal"/>
    <w:uiPriority w:val="34"/>
    <w:qFormat/>
    <w:rsid w:val="00bc1f4a"/>
    <w:pPr>
      <w:spacing w:before="0" w:after="160"/>
      <w:ind w:left="720"/>
      <w:contextualSpacing/>
    </w:pPr>
    <w:rPr/>
  </w:style>
  <w:style w:type="paragraph" w:styleId="Indicazioninormale" w:customStyle="1">
    <w:name w:val="Indicazioni normale"/>
    <w:basedOn w:val="BodyTextIndent"/>
    <w:uiPriority w:val="99"/>
    <w:qFormat/>
    <w:rsid w:val="00bc1f4a"/>
    <w:pPr>
      <w:widowControl w:val="false"/>
      <w:spacing w:lineRule="auto" w:line="240" w:before="0" w:after="28"/>
      <w:ind w:firstLine="284" w:left="0"/>
      <w:contextualSpacing/>
      <w:jc w:val="both"/>
    </w:pPr>
    <w:rPr>
      <w:rFonts w:ascii="Helvetica" w:hAnsi="Helvetica" w:eastAsia="Times New Roman" w:cs="Times New Roman"/>
      <w:bCs/>
      <w:sz w:val="18"/>
      <w:szCs w:val="18"/>
      <w:lang w:eastAsia="it-IT"/>
    </w:rPr>
  </w:style>
  <w:style w:type="paragraph" w:styleId="BodyTextIndent">
    <w:name w:val="Body Text Indent"/>
    <w:basedOn w:val="Normal"/>
    <w:link w:val="RientrocorpodeltestoCarattere"/>
    <w:uiPriority w:val="99"/>
    <w:semiHidden/>
    <w:unhideWhenUsed/>
    <w:rsid w:val="00bc1f4a"/>
    <w:pPr>
      <w:spacing w:before="0" w:after="120"/>
      <w:ind w:left="283"/>
    </w:pPr>
    <w:rPr/>
  </w:style>
  <w:style w:type="paragraph" w:styleId="Caption1" w:customStyle="1">
    <w:name w:val="caption1"/>
    <w:basedOn w:val="Normal"/>
    <w:next w:val="Normal"/>
    <w:uiPriority w:val="35"/>
    <w:semiHidden/>
    <w:unhideWhenUsed/>
    <w:qFormat/>
    <w:rsid w:val="00bf1ded"/>
    <w:pPr>
      <w:spacing w:lineRule="auto" w:line="240"/>
    </w:pPr>
    <w:rPr>
      <w:b/>
      <w:bCs/>
      <w:smallCaps/>
      <w:color w:themeColor="text2" w:val="44546A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bf1ded"/>
    <w:pPr>
      <w:spacing w:lineRule="auto" w:line="240" w:before="0" w:after="240"/>
    </w:pPr>
    <w:rPr>
      <w:rFonts w:ascii="Calibri Light" w:hAnsi="Calibri Light" w:eastAsia="" w:cs="" w:asciiTheme="majorHAnsi" w:cstheme="majorBidi" w:eastAsiaTheme="majorEastAsia" w:hAnsiTheme="majorHAnsi"/>
      <w:color w:themeColor="accent1" w:val="5B9BD5"/>
      <w:sz w:val="28"/>
      <w:szCs w:val="28"/>
    </w:rPr>
  </w:style>
  <w:style w:type="paragraph" w:styleId="NoSpacing">
    <w:name w:val="No Spacing"/>
    <w:uiPriority w:val="1"/>
    <w:qFormat/>
    <w:rsid w:val="00bf1ded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en-US" w:bidi="ar-SA"/>
    </w:rPr>
  </w:style>
  <w:style w:type="paragraph" w:styleId="Quote">
    <w:name w:val="Quote"/>
    <w:basedOn w:val="Normal"/>
    <w:next w:val="Normal"/>
    <w:link w:val="CitazioneCarattere"/>
    <w:uiPriority w:val="29"/>
    <w:qFormat/>
    <w:rsid w:val="00bf1ded"/>
    <w:pPr>
      <w:spacing w:before="120" w:after="120"/>
      <w:ind w:left="720"/>
    </w:pPr>
    <w:rPr>
      <w:color w:themeColor="text2" w:val="44546A"/>
      <w:sz w:val="24"/>
      <w:szCs w:val="24"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bf1ded"/>
    <w:pPr>
      <w:spacing w:lineRule="auto" w:line="240" w:beforeAutospacing="1" w:after="240"/>
      <w:ind w:left="720"/>
      <w:jc w:val="center"/>
    </w:pPr>
    <w:rPr>
      <w:rFonts w:ascii="Calibri Light" w:hAnsi="Calibri Light" w:eastAsia="" w:cs="" w:asciiTheme="majorHAnsi" w:cstheme="majorBidi" w:eastAsiaTheme="majorEastAsia" w:hAnsiTheme="majorHAnsi"/>
      <w:color w:themeColor="text2" w:val="44546A"/>
      <w:spacing w:val="-6"/>
      <w:sz w:val="32"/>
      <w:szCs w:val="32"/>
    </w:rPr>
  </w:style>
  <w:style w:type="paragraph" w:styleId="IndexHeading" w:customStyle="1">
    <w:name w:val="Index Heading"/>
    <w:basedOn w:val="Title"/>
    <w:rsid w:val="00c77a3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1ded"/>
    <w:pPr>
      <w:outlineLvl w:val="9"/>
    </w:pPr>
    <w:rPr/>
  </w:style>
  <w:style w:type="paragraph" w:styleId="TableParagraph" w:customStyle="1">
    <w:name w:val="Table Paragraph"/>
    <w:basedOn w:val="Normal"/>
    <w:uiPriority w:val="1"/>
    <w:qFormat/>
    <w:rsid w:val="00bc4e14"/>
    <w:pPr>
      <w:widowControl w:val="false"/>
      <w:spacing w:lineRule="auto" w:line="240" w:before="0" w:after="0"/>
      <w:ind w:left="467"/>
    </w:pPr>
    <w:rPr>
      <w:rFonts w:ascii="Calibri" w:hAnsi="Calibri" w:eastAsia="Calibri" w:cs="Calibri"/>
    </w:rPr>
  </w:style>
  <w:style w:type="paragraph" w:styleId="NormalWeb">
    <w:name w:val="Normal (Web)"/>
    <w:basedOn w:val="Normal"/>
    <w:qFormat/>
    <w:rsid w:val="00941fb3"/>
    <w:pPr>
      <w:spacing w:lineRule="auto" w:line="276" w:before="280" w:after="280"/>
    </w:pPr>
    <w:rPr>
      <w:rFonts w:ascii="Calibri" w:hAnsi="Calibri" w:eastAsia="SimSun" w:cs="Calibri"/>
      <w:kern w:val="2"/>
      <w:lang w:eastAsia="ar-SA"/>
    </w:rPr>
  </w:style>
  <w:style w:type="paragraph" w:styleId="Default" w:customStyle="1">
    <w:name w:val="Default"/>
    <w:qFormat/>
    <w:rsid w:val="00916bc5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 w:eastAsiaTheme="minorHAnsi"/>
      <w:color w:val="000000"/>
      <w:kern w:val="0"/>
      <w:sz w:val="24"/>
      <w:szCs w:val="24"/>
      <w:lang w:val="it-IT" w:eastAsia="en-US" w:bidi="ar-SA"/>
    </w:rPr>
  </w:style>
  <w:style w:type="paragraph" w:styleId="Contenutocornice" w:customStyle="1">
    <w:name w:val="Contenuto cornice"/>
    <w:basedOn w:val="Normal"/>
    <w:qFormat/>
    <w:rsid w:val="00c77a35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c1f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Application>LibreOffice/7.6.2.1$Windows_X86_64 LibreOffice_project/56f7684011345957bbf33a7ee678afaf4d2ba333</Application>
  <AppVersion>15.0000</AppVersion>
  <Pages>7</Pages>
  <Words>1797</Words>
  <Characters>11369</Characters>
  <CharactersWithSpaces>13116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2024-01-22T18:12:00Z</dcterms:created>
  <dc:creator>Anna Rocca</dc:creator>
  <dc:description/>
  <dc:language>it-IT</dc:language>
  <cp:lastModifiedBy>Utente</cp:lastModifiedBy>
  <dcterms:modified xsi:type="dcterms:W3CDTF">2024-01-22T21:21:00Z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